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01338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01338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57 naturvårdsarter, varav 37 är rödlistade, 10 är fridlysta, 40 är typiska (T) och 11 är signalarter (S): doftticka (VU, T, §8), fläckporing (VU, T), garnlav (VU, T), gräddporing (VU, T), knärot (VU, T, §8), Lecidea subhumida (VU), smalfotad taggsvamp (VU), blanksvart spiklav (NT),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15 fyndplatser för knärot registrerade på Artportalen. Figur 2 visar gränserna för buffertzoner på 50 m, som behöver lämnas kring fyndplatserna för att knärotslokalerna inte ska försvinna vid en avverkning. Av det aktuella området överlappar 5.15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