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4685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4685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63 naturvårdsarter, varav 33 är rödlistade, 15 är fridlysta, 45 är typiska (T) och 14 är signalarter (S): garnlav (VU, T), grantickeporing (VU), gränsticka (VU, T), knärot (VU, T, §8), kristallticka (VU), lappticka (VU, T), laxgröppa (VU), olivbrun kremla (VU), ostticka (VU, T), sprickporing (VU), tajgaskinn (VU), vitskaftad svartspik (VU, T), blanksvart spiklav (NT), doftskinn (NT, T), gammelgransskål (NT, 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vitgrynig nållav (NT), älg (NT), blodticka (S, T), bronshjon (S, T), bårdlav (S, T), grönkulla (S, T, §8), luddlav (S, T), norrlandslav (S, T), plattlummer (S, T, §9), spindelblomster (S, T, §8), stuplav (S, T), tibast (S, T), trådticka (S, T), vedticka (S, T), vågbandad barkbock (S), ögonpyrola (S, T), bergsslok (T), ekbräken (T), fjällskära (T), humleblomster (T), järpe (T, §4), kransmossa (T), kärrviol (T), linnea (T), mattlummer (T, §9), nordisk stormhatt (T), spillkråka (T, §4), tjäder (T, §4), orre (§4),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