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området Bremudden avvanm i Arjeplogs kommun</w:t>
      </w:r>
    </w:p>
    <w:p>
      <w:r>
        <w:t>Detta klagomål behandlar höga naturvärden i området Bremudden avvanm i Arjeplogs kommun som inkom 2026-07-20 och omfattar 19,7 ha.</w:t>
      </w:r>
    </w:p>
    <w:p>
      <w:pPr>
        <w:pStyle w:val="Caption"/>
      </w:pPr>
      <w:r>
        <w:drawing>
          <wp:inline xmlns:a="http://schemas.openxmlformats.org/drawingml/2006/main" xmlns:pic="http://schemas.openxmlformats.org/drawingml/2006/picture">
            <wp:extent cx="5242946" cy="5724000"/>
            <wp:docPr id="1" name="Picture 1"/>
            <wp:cNvGraphicFramePr>
              <a:graphicFrameLocks noChangeAspect="1"/>
            </wp:cNvGraphicFramePr>
            <a:graphic>
              <a:graphicData uri="http://schemas.openxmlformats.org/drawingml/2006/picture">
                <pic:pic>
                  <pic:nvPicPr>
                    <pic:cNvPr id="0" name="Bremudden avvanm karta.png"/>
                    <pic:cNvPicPr/>
                  </pic:nvPicPr>
                  <pic:blipFill>
                    <a:blip r:embed="rId16"/>
                    <a:stretch>
                      <a:fillRect/>
                    </a:stretch>
                  </pic:blipFill>
                  <pic:spPr>
                    <a:xfrm>
                      <a:off x="0" y="0"/>
                      <a:ext cx="5242946" cy="5724000"/>
                    </a:xfrm>
                    <a:prstGeom prst="rect"/>
                  </pic:spPr>
                </pic:pic>
              </a:graphicData>
            </a:graphic>
          </wp:inline>
        </w:drawing>
      </w:r>
    </w:p>
    <w:p>
      <w:pPr>
        <w:pStyle w:val="Caption"/>
        <w:spacing w:after="240"/>
      </w:pPr>
      <w:r>
        <w:t>Figur 1. Fyndplatser för naturvårdsarter i och inom 11 meter från området. Markörer utan svart kant är placerade på fyndplatsen. Markörer med svart kant är placerade vid sidan av fyndplatsen har ett svart streck som visar fyndplatsens exakta position. Kartans mittpunktskoordinat är N 7333308, E 626670 i SWEREF 99 TM.</w:t>
      </w:r>
    </w:p>
    <w:p>
      <w:r>
        <w:t>I och inom 11 meter från området finns fynd av 16 naturvårdsarter, varav 13 är rödlistade, 4 är fridlysta och 7 är typiska (T): fläckporing (VU, T), garnlav (VU, T), gräddporing (VU, T), blanksvart spiklav (NT), dvärgbägarlav (NT, T), grå blåbärsfältmätare (NT), mörk kolflarnlav (NT), talltagel (NT, T), talltita (NT, §4), vedflamlav (NT), vedskivlav (NT, T), vitplätt (NT), älg (NT), tjäder (T, §4), vanlig groda (§6)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aktuella skogen. Se även ytterligare artfakta i BILAGA 1. De påträffade naturvårdsarterna är ett tydligt kvitto på att det rör sig om en skog med höga naturvärden.</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Grå blåbärsfältmätare (NT)</w:t>
      </w:r>
      <w:r>
        <w:t xml:space="preserve"> har tidigare ansetts som en mycket vanlig art men har utifrån fältobservationer gått starkt tillbaka och är nu försvunnen från stora delar av södra och mellersta Sverige. Sannolikt minskar arten även i norr. Detta indikerar att arten är starkare knuten till kontinuitetsskog med stort innehåll av blåbär än man tidigare trott och den förefaller vara mycket känslig för kalhyggesbruk. Fjärilens huvudsakliga habitat är luckiga granskogar med ett välutvecklat blåbärskikt på vilket larven lever. Denna livsmiljö är hotad av kalhyggesbruket där blåbärsriset skuggas ut när den uppväxande skogen sluter sig. Minskningstakten för den svenska populationen bedöms vara nära gränsvärdet för Sårbar (VU)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aktuella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aktuella skogsområdet har 16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aktuella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