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1531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15317"/>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48 naturvårdsarter, varav 25 är rödlistade, 13 är fridlysta, 38 är typiska (T) och 10 är signalarter (S): garnlav (VU, T), grantickeporing (VU), gränsticka (VU, T), knärot (VU, T, §8), lappticka (VU, T), ostticka (VU, T), vitskaftad svartspik (VU, T), blanksvart spiklav (NT), doftskinn (NT, T), gammelgransskål (NT, T), harticka (NT, T), knottrig blåslav (NT, T), lavskrika (NT, T, §4), liten svartspik (NT), lunglav (NT, T), nordlig nållav (NT), rosenticka (NT, T), rödbrun blekspik (NT, T), skrovellav (NT, T), talltagel (NT, T), talltita (NT, §4), tretåig hackspett (NT, T, §4), ullticka (NT, T), vitgrynig nållav (NT), älg (NT), blodticka (S, T), bårdlav (S, T), grönkulla (S, T, §8), luddlav (S, T), plattlummer (S, T, §9), spindelblomster (S, T, §8), stuplav (S, T), trådticka (S, T), vedticka (S, T), ögonpyrola (S, T), bergsslok (T), ekbräken (T), fjällskära (T), järpe (T, §4), kransmossa (T), kärrviol (T), linnea (T),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