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23 naturvårdsarter, varav 16 är rödlistade, 4 är fridlysta, 19 är typiska (T) och 5 är signalarter (S): garnlav (VU, T), grantickeporing (VU), gränsticka (VU, T), ostticka (VU, T), vitskaftad svartspik (VU, T), gammelgransskål (NT, T), harticka (NT, T), knottrig blåslav (NT, T), rosenticka (NT, T), rynkskinn (NT, T), rödbrun blekspik (NT, T), talltita (NT, §4), tretåig hackspett (NT, T, §4), ullticka (NT, T), violmussling (NT, T), vitgrynig nållav (NT), blodticka (S, T), spindelblomster (S, T, §8), stuplav (S, T), trådticka (S, T), ögonpyrola (S,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gammelgransskål (NT, T), harticka (NT, T), knottrig blåslav (NT, T), rosenticka (NT, T), rynkskinn (NT, T), rödbrun blekspik (NT, T), tretåig hackspett (NT, T, §4), ullticka (NT, T), violmussling (NT, T), blodticka (S, T), spindelblomster (S, T, §8), stuplav (S, T), trådticka (S, T), ögonpyrola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