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23 naturvårdsarter, varav 19 är rödlistade, 3 är fridlysta, 14 är typiska (T) och 1 är signalart (S): garnlav (VU, T), grantickeporing (VU), gränsticka (VU, T), Lecidea subhumida (VU), blanksvart spiklav (NT), blågrå svartspik (NT), dvärgbägarlav (NT, T), gammelgransskål (NT, T), knottrig blåslav (NT, T), liten svartspik (NT), nordtagging (NT), rödbrun blekspik (NT, T), talltagel (NT, T), tretåig hackspett (NT, T, §4), ullticka (NT, T), vedflamlav (NT), vedskivlav (NT, T), vitgrynig nållav (NT), äggvaxskivling (NT), blodticka (S, T), ekbräken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