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23 naturvårdsarter, varav 19 är rödlistade, 3 är fridlysta, 14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ekbräken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