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23 naturvårdsarter, varav 16 är rödlistade, 4 är fridlysta, 19 är typiska (T) och 5 är signalarter (S): garnlav (VU, T), grantickeporing (VU), gränsticka (VU, T), ostticka (VU, T), vitskaftad svartspik (VU, T), gammelgransskål (NT, T), harticka (NT, T), knottrig blåslav (NT, T), rosenticka (NT, T), rynkskinn (NT, T), rödbrun blekspik (NT, T), talltita (NT, §4), tretåig hackspett (NT, T, §4), ullticka (NT, T), violmussling (NT, T), vitgrynig nållav (NT), blodticka (S, T), spindelblomster (S, T, §8), stuplav (S, T), trådticka (S, T), ögonpyrola (S,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