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26 naturvårdsarter, varav 18 är rödlistade, 5 är fridlysta, 19 är typiska (T) och 5 är signalarter (S): isabellporing (EN), bågknotterskinn (VU), garnlav (VU, T), grantickeporing (VU), gränsticka (VU, T), ostticka (VU, T), vitskaftad svartspik (VU, T), gammelgransskål (NT, T), harticka (NT, T), knottrig blåslav (NT, T), rosenticka (NT, T), rynkskinn (NT, T), rödbrun blekspik (NT, T), talltita (NT, §4), tretåig hackspett (NT, T, §4), ullticka (NT, T), violmussling (NT, T), vitgrynig nållav (NT), blodticka (S, T), spindelblomster (S, T, §8), stuplav (S, T), trådticka (S, T), ögonpyrola (S,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gammelgransskål (NT, T), harticka (NT, T), knottrig blåslav (NT, T), rosenticka (NT, T), rynkskinn (NT, T), rödbrun blekspik (NT, T), tretåig hackspett (NT, T, §4), ullticka (NT, T), violmussling (NT, T), blodticka (S, T), spindelblomster (S, T, §8), stuplav (S, T), trådticka (S, T), ögonpyrola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