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Maskaure Tsågávrrie avvanm, 17,8 ha i Arjeplogs kommun</w:t>
      </w:r>
    </w:p>
    <w:p>
      <w:r>
        <w:t>Denna tillsynsbegäran behandlar höga naturvärden i området Maskaure Tsågávrrie avvanm, 17,8 ha i Arjeplogs kommun som inkom 2026-07-20 och omfattar 17,8 ha.</w:t>
      </w:r>
    </w:p>
    <w:p>
      <w:pPr>
        <w:pStyle w:val="Caption"/>
      </w:pPr>
      <w:r>
        <w:drawing>
          <wp:inline xmlns:a="http://schemas.openxmlformats.org/drawingml/2006/main" xmlns:pic="http://schemas.openxmlformats.org/drawingml/2006/picture">
            <wp:extent cx="5486400" cy="4130769"/>
            <wp:docPr id="1" name="Picture 1"/>
            <wp:cNvGraphicFramePr>
              <a:graphicFrameLocks noChangeAspect="1"/>
            </wp:cNvGraphicFramePr>
            <a:graphic>
              <a:graphicData uri="http://schemas.openxmlformats.org/drawingml/2006/picture">
                <pic:pic>
                  <pic:nvPicPr>
                    <pic:cNvPr id="0" name="Maskaure Tsågávrrie avvanm, 17,8 ha karta.png"/>
                    <pic:cNvPicPr/>
                  </pic:nvPicPr>
                  <pic:blipFill>
                    <a:blip r:embed="rId16"/>
                    <a:stretch>
                      <a:fillRect/>
                    </a:stretch>
                  </pic:blipFill>
                  <pic:spPr>
                    <a:xfrm>
                      <a:off x="0" y="0"/>
                      <a:ext cx="5486400" cy="4130769"/>
                    </a:xfrm>
                    <a:prstGeom prst="rect"/>
                  </pic:spPr>
                </pic:pic>
              </a:graphicData>
            </a:graphic>
          </wp:inline>
        </w:drawing>
      </w:r>
    </w:p>
    <w:p>
      <w:pPr>
        <w:pStyle w:val="Caption"/>
        <w:spacing w:after="240"/>
      </w:pPr>
      <w:r>
        <w:t>Figur 1. Fyndplatser för naturvårdsarter i och inom 14 meter från området. Markörer utan svart kant är placerade på fyndplatsen. Markörer med svart kant är placerade vid sidan av fyndplatsen och har ett svart streck som visar fyndplatsens exakta position. Kartans mittpunktskoordinat är N 7307376, E 623723 i SWEREF 99 TM.</w:t>
      </w:r>
    </w:p>
    <w:p>
      <w:r>
        <w:t>I och inom 14 meter från området finns fynd av 33 naturvårdsarter, varav 20 är rödlistade, 7 är fridlysta, 23 är typiska (T) och 10 är signalarter (S): garnlav (VU, T), smalskaftslav (VU), tajgaskinn (VU), blanksvart spiklav (NT), brunpudrad nållav (NT, T), dvärgbägarlav (NT, T), gammelgransskål (NT, T), harticka (NT, T), knottrig blåslav (NT, T), kortskaftad ärgspik (NT), rosenticka (NT, T), talltagel (NT, T), talltita (NT, §4), tretåig hackspett (NT, T, §4), ullticka (NT, T), vedflamlav (NT), vedskivlav (NT, T), violmussling (NT, T), vitgrynig nållav (NT), vitplätt (NT), bollvitmossa (S, T), bronshjon (S, T), korallrot (S, T, §8), kornig nållav (S, T), luddlav (S, T), skör kvastmossa (S, T), spindelblomster (S, T, §8), vedticka (S, T), vågbandad barkbock (S), ögonpyrola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garnlav (VU, T), brunpudrad nållav (NT, T), dvärgbägarlav (NT, T), gammelgransskål (NT, T), harticka (NT, T), knottrig blåslav (NT, T), rosenticka (NT, T), talltagel (NT, T), tretåig hackspett (NT, T, §4), ullticka (NT, T), vedskivlav (NT, T), violmussling (NT, T), bollvitmossa (S, T), bronshjon (S, T), korallrot (S, T, §8), kornig nållav (S, T), luddlav (S, T), skör kvastmossa (S, T), spindelblomster (S, T, §8), vedticka (S, T), ögonpyrola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