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31 naturvårdsarter, varav 19 är rödlistade, 9 är fridlysta, 26 är typiska (T) och 7 är signalarter (S): garnlav (VU, T), grantickeporing (VU), gränsticka (VU, T), lappticka (VU, T), ostticka (VU, T), gammelgransskål (NT, T), harticka (NT, T), knottrig blåslav (NT, T), lavskrika (NT, T, §4), liten svartspik (NT), lunglav (NT, T), rosenticka (NT, T), rödbrun blekspik (NT, T), skrovellav (NT, T), talltagel (NT, T), talltita (NT, §4), tretåig hackspett (NT, T, §4), ullticka (NT, T), vitgrynig nållav (NT), bårdlav (S, T), grönkulla (S, T, §8), luddlav (S, T), plattlummer (S, T, §9), spindelblomster (S, T, §8), stuplav (S, T), trådticka (S, T), ekbräken (T), fjällskära (T),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