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20 naturvårdsarter, varav 14 är rödlistade, 3 är fridlysta, 18 är typiska (T) och 5 är signalarter (S): garnlav (VU, T), grantickeporing (VU), gränsticka (VU, T), ostticka (VU, T), vitskaftad svartspik (VU, T), gammelgransskål (NT, T), harticka (NT, T), knottrig blåslav (NT, T), rosenticka (NT, T), rynkskinn (NT, T), rödbrun blekspik (NT, T), tretåig hackspett (NT, T, §4), ullticka (NT, T), violmussling (NT, T), blodticka (S, T), spindelblomster (S, T, §8), stuplav (S, T), trådticka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