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20 naturvårdsarter, varav 14 är rödlistade, 3 är fridlysta, 18 är typiska (T) och 5 är signalarter (S): garnlav (VU, T), grantickeporing (VU), gränsticka (VU, T), ostticka (VU, T), vitskaftad svartspik (VU, T), gammelgransskål (NT, T), harticka (NT, T), knottrig blåslav (NT, T), rosenticka (NT, T), rynkskinn (NT, T), rödbrun blekspik (NT, T), tretåig hackspett (NT, T, §4), ullticka (NT, T), violmussling (NT, T), blodticka (S, T), spindelblomster (S, T, §8), stuplav (S, T), trådticka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ostticka (VU, T), vitskaftad svartspik (VU, T), gammelgransskål (NT, T), harticka (NT, T), knottrig blåslav (NT, T), rosenticka (NT, T), rynkskinn (NT, T), rödbrun blekspik (NT, T), tretåig hackspett (NT, T, §4), ullticka (NT, T), violmussling (NT, T), blodticka (S, T), spindelblomster (S, T, §8), stuplav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