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23 naturvårdsarter, varav 19 är rödlistade, 3 är fridlysta, 14 är typiska (T) och 1 är signalart (S): garnlav (VU, T), grantickeporing (VU), gränsticka (VU, T), Lecidea subhumida (VU), blanksvart spiklav (NT), blågrå svartspik (NT), dvärgbägarlav (NT, T), gammelgransskål (NT, T), knottrig blåslav (NT, T), liten svartspik (NT), nordtagging (NT), rödbrun blekspik (NT, T), talltagel (NT, T), tretåig hackspett (NT, T, §4), ullticka (NT, T), vedflamlav (NT), vedskivlav (NT, T), vitgrynig nållav (NT), äggvaxskivling (NT), blodticka (S, T), ekbräken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ekbräken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