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52 naturvårdsarter, varav 33 är rödlistade, 9 är fridlysta, 36 är typiska (T) och 11 är signalarter (S): doftticka (VU, T, §8), fläckporing (VU, T), garnlav (VU, T), gräddporing (VU, T), knärot (VU, T, §8), Lecidea subhumida (VU), blanksvart spiklav (NT), blågrå svartspik (NT), dropptaggsvamp (NT, T), dvärgbägarlav (NT, T), gullmurkling (NT), harticka (NT, T), knottrig blåslav (NT, T), kolflarnlav (NT, T), kortskaftad ärgspik (NT), liten svartspik (NT), lunglav (NT, T), mörk kolflarnlav (NT), nordtagging (NT), rosenticka (NT, T), rutspindling (NT), skrovellav (NT, T), talltagel (NT, T), talltaggsvamp (NT), talltita (NT, §4), tretåig hackspett (NT, T, §4), ullticka (NT, T), vedflamlav (NT), vedskivlav (NT, T), vedtrappmossa (NT, T), violettgrå tagellav (NT, T), vitgrynig nållav (NT), vitplätt (NT), bårdlav (S, T), dvärgtufs (S), korallrot (S, T, §8), källpraktmossa (S, T), luddlav (S, T), norrlandslav (S, T), plattlummer (S, T, §9), skinnlav (S, T), spindelblomster (S, T, §8), stuplav (S, T), ögonpyrola (S, T), brudborste (T), ekbräken (T), grå renlav (T), hultbräken (T), nordisk stormhatt (T), tjäder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11 fyndplatser för knärot registrerade på Artportalen. Figur 2 visar gränserna för buffertzoner på 50 m, som behöver lämnas kring fyndplatserna för att knärotslokalerna inte ska försvinna vid en avverkning. Av det aktuella området överlappar 3.47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knärot (VU, T, §8), dropptaggsvamp (NT, T), dvärgbägarlav (NT, T), harticka (NT, T), knottrig blåslav (NT, T), kolflarnlav (NT, T), lunglav (NT, T), rosenticka (NT, T), skrovellav (NT, T), talltagel (NT, T), tretåig hackspett (NT, T, §4), ullticka (NT, T), vedskivlav (NT, T), vedtrappmossa (NT, T), violettgrå tagellav (NT, T), bårdlav (S, T), korallrot (S, T, §8), källpraktmossa (S, T), luddlav (S, T), norrlandslav (S, T), plattlummer (S, T, §9), skinnlav (S, T), spindelblomster (S, T, §8), stuplav (S, T), ögonpyrola (S, T), brudborste (T), ekbräken (T), grå renlav (T), hultbräken (T), nordisk stormhatt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