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5028814"/>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502881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57 naturvårdsarter, varav 36 är rödlistade, 11 är fridlysta, 39 är typiska (T) och 11 är signalarter (S): doftticka (VU, T, §8), fläckporing (VU, T), garnlav (VU, T), gräddporing (VU, T), knärot (VU, T, §8), Lecidea subhumida (VU), smalfotad taggsvamp (VU), blanksvart spiklav (NT), blågrå svartspik (NT), brunpudrad nållav (NT, T), dropptaggsvamp (NT, T), dvärgbägarlav (NT, T), harticka (NT, T), knottrig blåslav (NT, T), kortskaftad ärgspik (NT), lavskrika (NT, T, §4), liten svartspik (NT), lunglav (NT, T), mörk kolflarnlav (NT), nordtagging (NT), rosenticka (NT, T), rutspindling (NT), skogshare (NT), skrovellav (NT, T), stjärntagging (NT, T), talltagel (NT, 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22 fyndplatser för knärot registrerade på Artportalen. Figur 2 visar gränserna för buffertzoner på 50 m, som behöver lämnas kring fyndplatserna för att knärotslokalerna inte ska försvinna vid en avverkning. Av det aktuella området överlappar 7.17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