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29 naturvårdsarter, varav 18 är rödlistade, 6 är fridlysta, 23 är typiska (T) och 10 är signalarter (S): garnlav (VU, T), gränsticka (VU, T), knärot (VU, T, §8), lappticka (VU, T), blanksvart spiklav (NT), doftskinn (NT, T), gammelgransskål (NT, T), harticka (NT, T), knottrig blåslav (NT, T), lavskrika (NT, T, §4), rosenticka (NT, T), skrovellav (NT, T), talltita (NT, §4), tretåig hackspett (NT, T, §4), ullticka (NT, T), vedflamlav (NT), vedtrappmossa (NT, T), vitgrynig nållav (NT), bronshjon (S, T), bårdlav (S, T), källmossor (S), luddlav (S, T), plattlummer (S, T, §9), spindelblomster (S, T, §8), stuplav (S, T), vedticka (S, T), vågbandad barkbock (S), ögonpyrola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