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24 naturvårdsarter, varav 15 är rödlistade, 6 är fridlysta, 19 är typiska (T) och 7 är signalarter (S): garnlav (VU, T), gränsticka (VU, T), blanksvart spiklav (NT), dvärgbägarlav (NT, T), gammelgransskål (NT, T), knottrig blåslav (NT, T), rödbrun blekspik (NT, T), stjärntagging (NT, T), talltita (NT, §4), tretåig hackspett (NT, T, §4), ullticka (NT, T), vedskivlav (NT, T), violmussling (NT, T), vitgrynig nållav (NT), älg (NT), bronshjon (S, T), bårdlav (S, T), korallrot (S, T, §8), luddlav (S, T), spindelblomster (S, T, §8),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stjärntagging (NT, T), tretåig hackspett (NT, T, §4), ullticka (NT, T), vedskivlav (NT, T), violmussling (NT, T), bronshjon (S, T), bårdlav (S, T), korallrot (S, T, §8), luddlav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