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29 naturvårdsarter, varav 18 är rödlistade, 6 är fridlysta, 23 är typiska (T) och 10 är signalarter (S): garnlav (VU, T), gränsticka (VU, T), knärot (VU, T, §8), lappticka (VU, T), blanksvart spiklav (NT), doftskinn (NT, T), gammelgransskål (NT, T), harticka (NT, T), knottrig blåslav (NT, T), lavskrika (NT, T, §4), rosenticka (NT, T), skrovellav (NT, T), talltita (NT, §4), tretåig hackspett (NT, T, §4), ullticka (NT, T), vedflamlav (NT), vedtrappmossa (NT, T), vitgrynig nållav (NT), bronshjon (S, T), bårdlav (S, T), källmossor (S), luddlav (S, T), plattlummer (S, T, §9), spindelblomster (S, T, §8), stuplav (S, T), vedticka (S, T), vågbandad barkbock (S), ögonpyrola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doftskinn (NT, T), gammelgransskål (NT, T), harticka (NT, T), knottrig blåslav (NT, T), lavskrika (NT, T, §4), rosenticka (NT, T), skrovellav (NT, T), tretåig hackspett (NT, T, §4), ullticka (NT, T), vedtrappmossa (NT, T), bronshjon (S, T), bårdlav (S, T), luddlav (S, T), plattlummer (S, T, §9), spindelblomster (S, T, §8), stuplav (S, T), vedticka (S, T), ögonpyrola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