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731987"/>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731987"/>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50 naturvårdsarter, varav 26 är rödlistade, 13 är fridlysta, 39 är typiska (T) och 11 är signalarter (S): garnlav (VU, T), grantickeporing (VU), gränsticka (VU, T), knärot (VU, T, §8), lappticka (VU, T), ostticka (VU, T), sprickporing (VU), vitskaftad svartspik (VU, T), blanksvart spiklav (NT), doftskinn (NT, T), gammelgransskål (NT, T), harticka (NT, T), knottrig blåslav (NT, T), lavskrika (NT, T, §4), liten svartspik (NT), lunglav (NT, T), nordlig nållav (NT), rosenticka (NT, T), rödbrun blekspik (NT, T), skrovellav (NT, T), talltagel (NT, T), talltita (NT, §4), tretåig hackspett (NT, T, §4), ullticka (NT, T), vitgrynig nållav (NT), älg (NT),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tjäder (T, §4), orre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talltagel (NT, T), tretåig hackspett (NT, T, §4), ullticka (NT, 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