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22 naturvårdsarter, varav 19 är rödlistade, 2 är fridlysta, 13 är typiska (T) och 1 är signalart (S): garnlav (VU, T), grantickeporing (VU), gränsticka (VU, T), Lecidea subhumida (VU), blanksvart spiklav (NT), blågrå svartspik (NT), dvärgbägarlav (NT, T), gammelgransskål (NT, T), knottrig blåslav (NT, T), liten svartspik (NT), nordtagging (NT), rödbrun blekspik (NT, T), talltagel (NT, T), tretåig hackspett (NT, T, §4), ullticka (NT, T), vedflamlav (NT), vedskivlav (NT, T), vitgrynig nållav (NT), äggvaxskivling (NT), blodticka (S, T), ekbräken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