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området Ássjátj utv öster i Arjeplogs kommun</w:t>
      </w:r>
    </w:p>
    <w:p>
      <w:r>
        <w:t>Denna tillsynsbegäran behandlar höga naturvärden i området Ássjátj utv öster i Arjeplogs kommun som inkom 2026-07-20 och omfattar 27,1 ha.</w:t>
      </w:r>
    </w:p>
    <w:p>
      <w:pPr>
        <w:pStyle w:val="Caption"/>
      </w:pPr>
      <w:r>
        <w:drawing>
          <wp:inline xmlns:a="http://schemas.openxmlformats.org/drawingml/2006/main" xmlns:pic="http://schemas.openxmlformats.org/drawingml/2006/picture">
            <wp:extent cx="5486400" cy="4432483"/>
            <wp:docPr id="1" name="Picture 1"/>
            <wp:cNvGraphicFramePr>
              <a:graphicFrameLocks noChangeAspect="1"/>
            </wp:cNvGraphicFramePr>
            <a:graphic>
              <a:graphicData uri="http://schemas.openxmlformats.org/drawingml/2006/picture">
                <pic:pic>
                  <pic:nvPicPr>
                    <pic:cNvPr id="0" name="Ássjátj utv öster karta.png"/>
                    <pic:cNvPicPr/>
                  </pic:nvPicPr>
                  <pic:blipFill>
                    <a:blip r:embed="rId16"/>
                    <a:stretch>
                      <a:fillRect/>
                    </a:stretch>
                  </pic:blipFill>
                  <pic:spPr>
                    <a:xfrm>
                      <a:off x="0" y="0"/>
                      <a:ext cx="5486400" cy="4432483"/>
                    </a:xfrm>
                    <a:prstGeom prst="rect"/>
                  </pic:spPr>
                </pic:pic>
              </a:graphicData>
            </a:graphic>
          </wp:inline>
        </w:drawing>
      </w:r>
    </w:p>
    <w:p>
      <w:pPr>
        <w:pStyle w:val="Caption"/>
        <w:spacing w:after="240"/>
      </w:pPr>
      <w:r>
        <w:t>Figur 1. Fyndplatser för naturvårdsarter i och inom 22 meter från området. Markörer utan svart kant är placerade på fyndplatsen. Markörer med svart kant är placerade vid sidan av fyndplatsen och har ett svart streck som visar fyndplatsens exakta position. Kartans mittpunktskoordinat är N 7333218, E 603440 i SWEREF 99 TM.</w:t>
      </w:r>
    </w:p>
    <w:p>
      <w:r>
        <w:t>I och inom 22 meter från området finns fynd av 10 naturvårdsarter, varav 6 är rödlistade, 10 är typiska (T) och 4 är signalarter (S): harticka (NT, T), kolflarnlav (NT, T), lunglav (NT, T), skrovellav (NT, T), ullticka (NT, T), vedskivlav (NT, T), bårdlav (S, T), luddlav (S, T), skinnlav (S, T) och ögonpyrola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området och föreningens inlaga (se 34 § förvaltningslagen).</w:t>
      </w:r>
    </w:p>
    <w:p>
      <w:pPr>
        <w:pStyle w:val="Heading1"/>
      </w:pPr>
      <w:r>
        <w:t>Naturvårdsarter och fridlysta arter</w:t>
      </w:r>
    </w:p>
    <w:p>
      <w:r>
        <w:t>Nedan följer beskrivningar av de naturvårdsarter och fridlysta arter som har sina livsmiljöer och växtplatser i den aktuella skogen. Se även ytterligare artfakta i BILAGA 1.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aktuella skogen: harticka (NT, T), kolflarnlav (NT, T), lunglav (NT, T), skrovellav (NT, T), ullticka (NT, T), vedskivlav (NT, T), bårdlav (S, T), luddlav (S, T), skinnlav (S, T) och ögonpyrola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