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området Maskaure Uddnäs avvanm, 4,6 ha i Arjeplogs kommun</w:t>
      </w:r>
    </w:p>
    <w:p>
      <w:r>
        <w:t>Detta klagomål behandlar höga naturvärden i området Maskaure Uddnäs avvanm, 4,6 ha i Arjeplogs kommun som inkom 2026-07-20 och omfattar 4,6 ha.</w:t>
      </w:r>
    </w:p>
    <w:p>
      <w:pPr>
        <w:pStyle w:val="Caption"/>
      </w:pPr>
      <w:r>
        <w:drawing>
          <wp:inline xmlns:a="http://schemas.openxmlformats.org/drawingml/2006/main" xmlns:pic="http://schemas.openxmlformats.org/drawingml/2006/picture">
            <wp:extent cx="5192282" cy="5724000"/>
            <wp:docPr id="1" name="Picture 1"/>
            <wp:cNvGraphicFramePr>
              <a:graphicFrameLocks noChangeAspect="1"/>
            </wp:cNvGraphicFramePr>
            <a:graphic>
              <a:graphicData uri="http://schemas.openxmlformats.org/drawingml/2006/picture">
                <pic:pic>
                  <pic:nvPicPr>
                    <pic:cNvPr id="0" name="Maskaure Uddnäs avvanm, 4,6 ha karta.png"/>
                    <pic:cNvPicPr/>
                  </pic:nvPicPr>
                  <pic:blipFill>
                    <a:blip r:embed="rId16"/>
                    <a:stretch>
                      <a:fillRect/>
                    </a:stretch>
                  </pic:blipFill>
                  <pic:spPr>
                    <a:xfrm>
                      <a:off x="0" y="0"/>
                      <a:ext cx="5192282" cy="5724000"/>
                    </a:xfrm>
                    <a:prstGeom prst="rect"/>
                  </pic:spPr>
                </pic:pic>
              </a:graphicData>
            </a:graphic>
          </wp:inline>
        </w:drawing>
      </w:r>
    </w:p>
    <w:p>
      <w:pPr>
        <w:pStyle w:val="Caption"/>
        <w:spacing w:after="240"/>
      </w:pPr>
      <w:r>
        <w:t>Figur 1. Fyndplatser för naturvårdsarter i och inom 21 meter från området. Markörer utan svart kant är placerade på fyndplatsen. Markörer med svart kant är placerade vid sidan av fyndplatsen och har ett svart streck som visar fyndplatsens exakta position. Kartans mittpunktskoordinat är N 7322094, E 619511 i SWEREF 99 TM.</w:t>
      </w:r>
    </w:p>
    <w:p>
      <w:r>
        <w:t>I och inom 21 meter från området finns fynd av 29 naturvårdsarter, varav 23 är rödlistade, 4 är fridlysta, 18 är typiska (T) och 5 är signalarter (S): garnlav (VU, T), gränsticka (VU, T), lappticka (VU, T), tajgaskinn (VU), ulltickeporing (VU), blanksvart spiklav (NT), blågrå svartspik (NT), dvärgbägarlav (NT, T), gammelgransskål (NT, T), grå blåbärsfältmätare (NT), harticka (NT, T), knottrig blåslav (NT, T), kötticka (NT), liten svartspik (NT), rosenticka (NT, T), talltagel (NT, T), talltita (NT, §4), tretåig hackspett (NT, T, §4), ullticka (NT, T), vedflamlav (NT), vedskivlav (NT, T), vitgrynig nållav (NT), vitplätt (NT), luddlav (S, T), nästlav (S, T), plattlummer (S, T, §9), skör kvastmossa (S, T), vedticka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Skör kvastmossa </w:t>
      </w:r>
      <w:r>
        <w:t xml:space="preserve">växer på murket trä och någon gång på humusrik jord eller torv. Den påträffas främst i miljöer med hög luftfuktighet, såsom sumpskogar och strandskogar. Den signalerar skog med höga naturvärden och indikerar rik förekomst av ved i olika nedbrytningsstadier på lokaler med hög och jämn luftfuktighet. Skör kvastmossa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aktuella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aktuella skogsområdet har 28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aktuella skogsområdet har 29 naturvårdsarter varav 23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aktuella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