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871167"/>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871167"/>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57 naturvårdsarter, varav 31 är rödlistade, 13 är fridlysta, 42 är typiska (T) och 13 är signalarter (S): garnlav (VU, T), grantickeporing (VU), gränsticka (VU, T), knärot (VU, T, §8), kristallticka (VU), lappticka (VU, T), laxgröppa (VU), ostticka (VU, T), sprickporing (VU), vitskaftad svartspik (VU, T), blanksvart spiklav (NT), doftskinn (NT, T), gammelgransskål (NT, 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vitgrynig nållav (NT), älg (NT), blodticka (S, T), bronshjon (S, T), bårdlav (S, T), grönkulla (S, T, §8), luddlav (S, T), plattlummer (S, T, §9), spindelblomster (S, T, §8), stuplav (S, T), tibast (S, T), trådticka (S, T), vedticka (S, T), vågbandad barkbock (S), ögonpyrola (S, T), bergsslok (T), ekbräken (T), fjällskära (T), järpe (T, §4), kransmossa (T), kärrviol (T), linnea (T), nordisk stormhatt (T), spillkråka (T, §4), tjäder (T, §4), orre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57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