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12873-2021 i Gagnefs kommun</w:t>
      </w:r>
    </w:p>
    <w:p>
      <w:r>
        <w:t>Detta dokument behandlar höga naturvärden i avverkningsamälan A 12873-2021 i Gagnefs kommun. Denna avverkningsanmälan inkom 2021-03-15 och omfattar 0,8 ha.</w:t>
      </w:r>
    </w:p>
    <w:p>
      <w:r>
        <w:t>Nedan presenteras fynd av naturvårdsarter och fridlysta arter som gjorts i det avverkningsanmälda området, samt relevanta utdrag ur standarderna för FSC, Chain of Custody, Controlled Wood och PEFC.</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7287"/>
            <wp:docPr id="1" name="Picture 1"/>
            <wp:cNvGraphicFramePr>
              <a:graphicFrameLocks noChangeAspect="1"/>
            </wp:cNvGraphicFramePr>
            <a:graphic>
              <a:graphicData uri="http://schemas.openxmlformats.org/drawingml/2006/picture">
                <pic:pic>
                  <pic:nvPicPr>
                    <pic:cNvPr id="0" name="A 12873-2021.png"/>
                    <pic:cNvPicPr/>
                  </pic:nvPicPr>
                  <pic:blipFill>
                    <a:blip r:embed="rId16"/>
                    <a:stretch>
                      <a:fillRect/>
                    </a:stretch>
                  </pic:blipFill>
                  <pic:spPr>
                    <a:xfrm>
                      <a:off x="0" y="0"/>
                      <a:ext cx="5486400" cy="33572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6702864, E 484330 i SWEREF 99 TM.</w:t>
      </w:r>
    </w:p>
    <w:p>
      <w:pPr>
        <w:pStyle w:val="Heading1"/>
      </w:pPr>
      <w:r>
        <w:t>Fridlysta arter</w:t>
      </w:r>
    </w:p>
    <w:p>
      <w:r>
        <w:t xml:space="preserve">Följande fridlysta arter har sina livsmiljöer och växtplatser i den avverkningsanmälda skogen: </w:t>
      </w:r>
    </w:p>
    <w:p>
      <w:pPr>
        <w:pStyle w:val="ListBullet"/>
      </w:pPr>
      <w:r>
        <w:t>Mindre hackspett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pPr>
        <w:pStyle w:val="ListBullet"/>
      </w:pPr>
      <w:r>
        <w:rPr>
          <w:b/>
          <w:i/>
        </w:rPr>
        <w:t xml:space="preserve">Kommentar: </w:t>
      </w:r>
      <w:r>
        <w:rPr>
          <w:i/>
        </w:rPr>
        <w:t xml:space="preserve">EU:s medlemsländer och skogsbolag är skyldiga att agera i enlighet med EU:s fågeldirektiv där det uttryckligen står att direktivet gäller för fåglar samt för deras ägg, bon och </w:t>
      </w:r>
      <w:r>
        <w:rPr>
          <w:b/>
          <w:i/>
        </w:rPr>
        <w:t xml:space="preserve">livsmiljöer </w:t>
      </w:r>
      <w:r>
        <w:t xml:space="preserve">(artikel 1). Vidare att de åtgärder som vidtas inte får leda till en försämring av den nuvarande situationen beträffande bevarandet av de fågelarter som avses i artikel 1 (artikel 13). </w:t>
      </w:r>
    </w:p>
    <w:p>
      <w:r>
        <w:rPr>
          <w:b/>
        </w:rPr>
        <w:t xml:space="preserve">6.4 </w:t>
      </w:r>
      <w:r>
        <w:t xml:space="preserve">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 </w:t>
      </w:r>
    </w:p>
    <w:p>
      <w:pPr>
        <w:pStyle w:val="ListBullet"/>
      </w:pPr>
      <w:r>
        <w:rPr>
          <w:b/>
          <w:i/>
        </w:rPr>
        <w:t xml:space="preserve">Kommentar: </w:t>
      </w:r>
      <w:r>
        <w:rPr>
          <w:i/>
        </w:rPr>
        <w:t>I det avverkningsanmälda skogsområdet har naturvårdsarter och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2023-10-04</w:t>
      <w:br/>
      <w:br/>
    </w:r>
    <w:r>
      <w:t>Till: Kommuner</w:t>
      <w:br/>
    </w:r>
    <w:r>
      <w:t>Kopia: DNV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