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20728-2023 i Gagnefs kommun</w:t>
      </w:r>
    </w:p>
    <w:p>
      <w:r>
        <w:t>Detta dokument behandlar höga naturvärden i avverkningsamälan A 20728-2023 i Gagnefs kommun. Denna avverkningsanmälan inkom 2023-05-09 och omfattar 5,9 ha.</w:t>
      </w:r>
    </w:p>
    <w:p>
      <w:r>
        <w:t>Vi begär härmed att Skogsstyrelsen samråder med Länsstyrelsen och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garnlav (NT), rosenticka (NT), spillkråka (NT, §4), tretåig hackspett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3663"/>
            <wp:docPr id="1" name="Picture 1"/>
            <wp:cNvGraphicFramePr>
              <a:graphicFrameLocks noChangeAspect="1"/>
            </wp:cNvGraphicFramePr>
            <a:graphic>
              <a:graphicData uri="http://schemas.openxmlformats.org/drawingml/2006/picture">
                <pic:pic>
                  <pic:nvPicPr>
                    <pic:cNvPr id="0" name="A 20728-2023.png"/>
                    <pic:cNvPicPr/>
                  </pic:nvPicPr>
                  <pic:blipFill>
                    <a:blip r:embed="rId16"/>
                    <a:stretch>
                      <a:fillRect/>
                    </a:stretch>
                  </pic:blipFill>
                  <pic:spPr>
                    <a:xfrm>
                      <a:off x="0" y="0"/>
                      <a:ext cx="5486400" cy="4413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6712445, E 501263 i SWEREF 99 TM.</w:t>
      </w:r>
    </w:p>
    <w:p>
      <w:pPr>
        <w:pStyle w:val="Heading1"/>
      </w:pPr>
      <w:r>
        <w:t>Fridlysta arter</w:t>
      </w:r>
    </w:p>
    <w:p>
      <w:r>
        <w:t xml:space="preserve">Följande fridlysta arter har sina livsmiljöer och växtplatser i den avverkningsanmälda skogen: </w:t>
      </w:r>
    </w:p>
    <w:p>
      <w:pPr>
        <w:pStyle w:val="ListBullet"/>
      </w:pPr>
      <w:r>
        <w:t>Knärot (VU, §8)</w:t>
      </w:r>
    </w:p>
    <w:p>
      <w:pPr>
        <w:pStyle w:val="ListBullet"/>
      </w:pPr>
      <w:r>
        <w:t>Spillkråka (NT, §4)</w:t>
      </w:r>
    </w:p>
    <w:p>
      <w:pPr>
        <w:pStyle w:val="ListBullet"/>
      </w:pPr>
      <w:r>
        <w:t>Tretåig hackspett (NT, §4)</w:t>
      </w:r>
    </w:p>
    <w:p>
      <w:r>
        <w:t>I det avverkningsanmälda området finns 12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365709"/>
            <wp:docPr id="2" name="Picture 2"/>
            <wp:cNvGraphicFramePr>
              <a:graphicFrameLocks noChangeAspect="1"/>
            </wp:cNvGraphicFramePr>
            <a:graphic>
              <a:graphicData uri="http://schemas.openxmlformats.org/drawingml/2006/picture">
                <pic:pic>
                  <pic:nvPicPr>
                    <pic:cNvPr id="0" name="A 20728-2023.png"/>
                    <pic:cNvPicPr/>
                  </pic:nvPicPr>
                  <pic:blipFill>
                    <a:blip r:embed="rId17"/>
                    <a:stretch>
                      <a:fillRect/>
                    </a:stretch>
                  </pic:blipFill>
                  <pic:spPr>
                    <a:xfrm>
                      <a:off x="0" y="0"/>
                      <a:ext cx="5486400" cy="536570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6712445, E 501263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2023-09-06</w:t>
      <w:br/>
      <w:br/>
    </w:r>
    <w:r>
      <w:t>Till: Skogsstyrelsen</w:t>
      <w:br/>
    </w:r>
    <w:r>
      <w:t>Kopia: Länsstyrelsen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