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377-2023 i Gagnefs kommun</w:t>
      </w:r>
    </w:p>
    <w:p>
      <w:r>
        <w:t>Detta dokument behandlar höga naturvärden i avverkningsamälan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 xml:space="preserve">Följande fridlysta arter har sina livsmiljöer och växtplatser i den avverkningsanmälda skogen: </w:t>
      </w:r>
    </w:p>
    <w:p>
      <w:pPr>
        <w:pStyle w:val="ListBullet"/>
      </w:pPr>
      <w:r>
        <w:t>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