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39885-2020 i Gagnefs kommun</w:t>
      </w:r>
    </w:p>
    <w:p>
      <w:r>
        <w:t>Detta dokument behandlar höga naturvärden i avverkningsamälan A 39885-2020 i Gagnefs kommun. Denna avverkningsanmälan inkom 2020-08-24 och omfattar 8,0 ha.</w:t>
      </w:r>
    </w:p>
    <w:p>
      <w:r>
        <w:t>Nedan presenteras fynd av naturvårdsarter som gjorts i det avverkningsanmälda området, samt relevanta utdrag ur standarderna för FSC, Chain of Custody, Controlled Wood och PEFC.</w:t>
      </w:r>
    </w:p>
    <w:p>
      <w:pPr>
        <w:pStyle w:val="Heading1"/>
      </w:pPr>
      <w:r>
        <w:t>Naturvårdsarter</w:t>
      </w:r>
    </w:p>
    <w:p>
      <w:r>
        <w:t>I avverkningsanmälan har följande 5 naturvårdsarter hittats: gammelgransskål (NT), garnlav (NT), ullticka (NT), kattfotslav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4091"/>
            <wp:docPr id="1" name="Picture 1"/>
            <wp:cNvGraphicFramePr>
              <a:graphicFrameLocks noChangeAspect="1"/>
            </wp:cNvGraphicFramePr>
            <a:graphic>
              <a:graphicData uri="http://schemas.openxmlformats.org/drawingml/2006/picture">
                <pic:pic>
                  <pic:nvPicPr>
                    <pic:cNvPr id="0" name="A 39885-2020.png"/>
                    <pic:cNvPicPr/>
                  </pic:nvPicPr>
                  <pic:blipFill>
                    <a:blip r:embed="rId16"/>
                    <a:stretch>
                      <a:fillRect/>
                    </a:stretch>
                  </pic:blipFill>
                  <pic:spPr>
                    <a:xfrm>
                      <a:off x="0" y="0"/>
                      <a:ext cx="5486400" cy="600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6703279, E 504422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 xml:space="preserve">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 </w:t>
      </w:r>
    </w:p>
    <w:p>
      <w:pPr>
        <w:pStyle w:val="ListBullet"/>
      </w:pPr>
      <w:r>
        <w:rPr>
          <w:b/>
          <w:i/>
        </w:rPr>
        <w:t xml:space="preserve">Kommentar: </w:t>
      </w:r>
      <w:r>
        <w:rPr>
          <w:i/>
        </w:rPr>
        <w:t>I det avverkningsanmälda skogsområdet har naturvårdsarter och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2023-09-15</w:t>
      <w:br/>
      <w:br/>
    </w:r>
    <w:r>
      <w:t>Till:</w:t>
      <w:br/>
    </w:r>
    <w:r>
      <w:t>Kopia: DNV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