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37343-2021 i Gagnefs kommun</w:t>
      </w:r>
    </w:p>
    <w:p>
      <w:r>
        <w:t>Detta dokument behandlar höga naturvärden i avverkningsamälan A 37343-2021 i Gagnefs kommun. Denna avverkningsanmälan inkom 2021-07-20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pPr>
        <w:pStyle w:val="Heading1"/>
      </w:pPr>
      <w:r>
        <w:t>Naturvårdsarter</w:t>
      </w:r>
    </w:p>
    <w:p>
      <w:r>
        <w:t>I avverkningsanmälan har följande 9 naturvårdsarter hittats: knärot (VU, §8), rynkskinn (VU), garnlav (NT), kolflarnlav (NT), mörk kolflarnlav (NT), tretåig hackspett (NT, §4), spindelblomster (S, §8), vedticka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37343-2021.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6687584, E 487871 i SWEREF 99 TM.</w:t>
      </w:r>
    </w:p>
    <w:p>
      <w:pPr>
        <w:pStyle w:val="Heading1"/>
      </w:pPr>
      <w:r>
        <w:t>Fridlysta arter</w:t>
      </w:r>
    </w:p>
    <w:p>
      <w:r>
        <w:t xml:space="preserve">Följande fridlysta arter har sina livsmiljöer och växtplatser i den avverkningsanmälda skogen: </w:t>
      </w:r>
    </w:p>
    <w:p>
      <w:pPr>
        <w:pStyle w:val="ListBullet"/>
      </w:pPr>
      <w:r>
        <w:t>Knärot (VU, §8)</w:t>
      </w:r>
    </w:p>
    <w:p>
      <w:pPr>
        <w:pStyle w:val="ListBullet"/>
      </w:pPr>
      <w:r>
        <w:t>Tretåig hackspett (NT, §4)</w:t>
      </w:r>
    </w:p>
    <w:p>
      <w:pPr>
        <w:pStyle w:val="ListBullet"/>
      </w:pPr>
      <w:r>
        <w:t>Spindelblomster (S, §8)</w:t>
      </w:r>
    </w:p>
    <w:p>
      <w:pPr>
        <w:pStyle w:val="ListBullet"/>
      </w:pPr>
      <w:r>
        <w:t>Fläcknycklar (§8)</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714622"/>
            <wp:docPr id="2" name="Picture 2"/>
            <wp:cNvGraphicFramePr>
              <a:graphicFrameLocks noChangeAspect="1"/>
            </wp:cNvGraphicFramePr>
            <a:graphic>
              <a:graphicData uri="http://schemas.openxmlformats.org/drawingml/2006/picture">
                <pic:pic>
                  <pic:nvPicPr>
                    <pic:cNvPr id="0" name="A 37343-2021.png"/>
                    <pic:cNvPicPr/>
                  </pic:nvPicPr>
                  <pic:blipFill>
                    <a:blip r:embed="rId17"/>
                    <a:stretch>
                      <a:fillRect/>
                    </a:stretch>
                  </pic:blipFill>
                  <pic:spPr>
                    <a:xfrm>
                      <a:off x="0" y="0"/>
                      <a:ext cx="5486400" cy="471462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6687584, E 487871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pPr>
        <w:pStyle w:val="ListBullet"/>
      </w:pPr>
      <w:r>
        <w:rPr>
          <w:b/>
          <w:i/>
        </w:rPr>
        <w:t xml:space="preserve">Kommentar: </w:t>
      </w:r>
      <w:r>
        <w:rPr>
          <w:i/>
        </w:rPr>
        <w:t xml:space="preserve">EU:s medlemsländer och skogsbolag är skyldiga att agera i enlighet med EU:s fågeldirektiv där det uttryckligen står att direktivet gäller för fåglar samt för deras ägg, bon och </w:t>
      </w:r>
      <w:r>
        <w:rPr>
          <w:b/>
          <w:i/>
        </w:rPr>
        <w:t xml:space="preserve">livsmiljöer </w:t>
      </w:r>
      <w:r>
        <w:t xml:space="preserve">(artikel 1). Vidare att de åtgärder som vidtas inte får leda till en försämring av den nuvarande situationen beträffande bevarandet av de fågelarter som avses i artikel 1 (artikel 13). </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2023-09-09</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