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26865-2020 i Hallsbergs kommun</w:t>
      </w:r>
    </w:p>
    <w:p>
      <w:r>
        <w:t>Detta dokument behandlar höga naturvärden i avverkningsamälan A 26865-2020 i Hallsbergs kommun. Denna avverkningsanmälan inkom 2020-06-05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19 naturvårdsarter hittats: tallbit (VU, §4), backtimjan (NT), björktrast (NT, §4), duvhök (NT, §4), entita (NT, §4), fiskmås (NT, §4), gulsparv (NT, §4), havsörn (NT, §4), kråka (NT, §4), mindre blåvinge (NT), rödvingetrast (NT, §4), sexfläckig bastardsvärmare (NT), spillkråka (NT, §4), talltita (NT, §4), blomkålssvamp (S), större aspvedbock (S), huggorm (§6), kopparödla (§6) och skogsödla (§6).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70036"/>
            <wp:docPr id="1" name="Picture 1"/>
            <wp:cNvGraphicFramePr>
              <a:graphicFrameLocks noChangeAspect="1"/>
            </wp:cNvGraphicFramePr>
            <a:graphic>
              <a:graphicData uri="http://schemas.openxmlformats.org/drawingml/2006/picture">
                <pic:pic>
                  <pic:nvPicPr>
                    <pic:cNvPr id="0" name="A 26865-2020.png"/>
                    <pic:cNvPicPr/>
                  </pic:nvPicPr>
                  <pic:blipFill>
                    <a:blip r:embed="rId16"/>
                    <a:stretch>
                      <a:fillRect/>
                    </a:stretch>
                  </pic:blipFill>
                  <pic:spPr>
                    <a:xfrm>
                      <a:off x="0" y="0"/>
                      <a:ext cx="5486400" cy="7070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6543840, E 502214 i SWEREF 99 TM.</w:t>
      </w:r>
    </w:p>
    <w:p>
      <w:pPr>
        <w:pStyle w:val="Heading1"/>
      </w:pPr>
      <w:r>
        <w:t>Fridlysta arter</w:t>
      </w:r>
    </w:p>
    <w:p>
      <w:r>
        <w:t xml:space="preserve">Följande fridlysta arter har sina livsmiljöer och växtplatser i den avverkningsanmälda skogen: </w:t>
      </w:r>
    </w:p>
    <w:p>
      <w:pPr>
        <w:pStyle w:val="ListBullet"/>
      </w:pPr>
      <w:r>
        <w:t>Tallbit (VU, §4)</w:t>
      </w:r>
    </w:p>
    <w:p>
      <w:pPr>
        <w:pStyle w:val="ListBullet"/>
      </w:pPr>
      <w:r>
        <w:t>Björktrast (NT, §4)</w:t>
      </w:r>
    </w:p>
    <w:p>
      <w:pPr>
        <w:pStyle w:val="ListBullet"/>
      </w:pPr>
      <w:r>
        <w:t>Duvhök (NT, §4)</w:t>
      </w:r>
    </w:p>
    <w:p>
      <w:pPr>
        <w:pStyle w:val="ListBullet"/>
      </w:pPr>
      <w:r>
        <w:t>Entita (NT, §4)</w:t>
      </w:r>
    </w:p>
    <w:p>
      <w:pPr>
        <w:pStyle w:val="ListBullet"/>
      </w:pPr>
      <w:r>
        <w:t>Fiskmås (NT, §4)</w:t>
      </w:r>
    </w:p>
    <w:p>
      <w:pPr>
        <w:pStyle w:val="ListBullet"/>
      </w:pPr>
      <w:r>
        <w:t>Gulsparv (NT, §4)</w:t>
      </w:r>
    </w:p>
    <w:p>
      <w:pPr>
        <w:pStyle w:val="ListBullet"/>
      </w:pPr>
      <w:r>
        <w:t>Havsörn (NT, §4)</w:t>
      </w:r>
    </w:p>
    <w:p>
      <w:pPr>
        <w:pStyle w:val="ListBullet"/>
      </w:pPr>
      <w:r>
        <w:t>Kråka (NT, §4)</w:t>
      </w:r>
    </w:p>
    <w:p>
      <w:pPr>
        <w:pStyle w:val="ListBullet"/>
      </w:pPr>
      <w:r>
        <w:t>Rödvingetrast (NT, §4)</w:t>
      </w:r>
    </w:p>
    <w:p>
      <w:pPr>
        <w:pStyle w:val="ListBullet"/>
      </w:pPr>
      <w:r>
        <w:t>Spillkråka (NT, §4)</w:t>
      </w:r>
    </w:p>
    <w:p>
      <w:pPr>
        <w:pStyle w:val="ListBullet"/>
      </w:pPr>
      <w:r>
        <w:t>Talltita (NT, §4)</w:t>
      </w:r>
    </w:p>
    <w:p>
      <w:pPr>
        <w:pStyle w:val="ListBullet"/>
      </w:pPr>
      <w:r>
        <w:t>Huggorm (§6)</w:t>
      </w:r>
    </w:p>
    <w:p>
      <w:pPr>
        <w:pStyle w:val="ListBullet"/>
      </w:pPr>
      <w:r>
        <w:t>Kopparödla (§6)</w:t>
      </w:r>
    </w:p>
    <w:p>
      <w:pPr>
        <w:pStyle w:val="ListBullet"/>
      </w:pPr>
      <w:r>
        <w:t>Skogsödla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