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2026-09-13 och omfattar 415,0 ha.</w:t>
      </w:r>
    </w:p>
    <w:p>
      <w:pPr>
        <w:pStyle w:val="Caption"/>
      </w:pPr>
      <w:r>
        <w:drawing>
          <wp:inline xmlns:a="http://schemas.openxmlformats.org/drawingml/2006/main" xmlns:pic="http://schemas.openxmlformats.org/drawingml/2006/picture">
            <wp:extent cx="4965830"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6583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157 naturvårdsarter varav 83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