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2026-09-13 och omfattar 159,7 ha.</w:t>
      </w:r>
    </w:p>
    <w:p>
      <w:pPr>
        <w:pStyle w:val="Caption"/>
      </w:pPr>
      <w:r>
        <w:drawing>
          <wp:inline xmlns:a="http://schemas.openxmlformats.org/drawingml/2006/main" xmlns:pic="http://schemas.openxmlformats.org/drawingml/2006/picture">
            <wp:extent cx="5486400" cy="4572702"/>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727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101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