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2026-09-13 och omfattar 237,7 ha.</w:t>
      </w:r>
    </w:p>
    <w:p>
      <w:pPr>
        <w:pStyle w:val="Caption"/>
      </w:pPr>
      <w:r>
        <w:drawing>
          <wp:inline xmlns:a="http://schemas.openxmlformats.org/drawingml/2006/main" xmlns:pic="http://schemas.openxmlformats.org/drawingml/2006/picture">
            <wp:extent cx="5486400" cy="4561272"/>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12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