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2026-09-17 och omfattar 159,7 ha.</w:t>
      </w:r>
    </w:p>
    <w:p>
      <w:pPr>
        <w:pStyle w:val="Caption"/>
      </w:pPr>
      <w:r>
        <w:drawing>
          <wp:inline xmlns:a="http://schemas.openxmlformats.org/drawingml/2006/main" xmlns:pic="http://schemas.openxmlformats.org/drawingml/2006/picture">
            <wp:extent cx="5486400" cy="4564509"/>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5645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101 naturvårdsarter, varav 56 är rödlistade, 32 är fridlysta, 45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tofsmes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101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