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2026-09-17 och omfattar 128,0 ha.</w:t>
      </w:r>
    </w:p>
    <w:p>
      <w:pPr>
        <w:pStyle w:val="Caption"/>
      </w:pPr>
      <w:r>
        <w:drawing>
          <wp:inline xmlns:a="http://schemas.openxmlformats.org/drawingml/2006/main" xmlns:pic="http://schemas.openxmlformats.org/drawingml/2006/picture">
            <wp:extent cx="4795159"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9515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