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2026-09-17 och omfattar 159,7 ha.</w:t>
      </w:r>
    </w:p>
    <w:p>
      <w:pPr>
        <w:pStyle w:val="Caption"/>
      </w:pPr>
      <w:r>
        <w:drawing>
          <wp:inline xmlns:a="http://schemas.openxmlformats.org/drawingml/2006/main" xmlns:pic="http://schemas.openxmlformats.org/drawingml/2006/picture">
            <wp:extent cx="5486400" cy="4564509"/>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5645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101 naturvårdsarter, varav 56 är rödlistade, 32 är fridlysta, 45 är typiska (T) och 25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tofsmes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fällmossa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