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2026-09-17 och omfattar 194,4 ha.</w:t>
      </w:r>
    </w:p>
    <w:p>
      <w:pPr>
        <w:pStyle w:val="Caption"/>
      </w:pPr>
      <w:r>
        <w:drawing>
          <wp:inline xmlns:a="http://schemas.openxmlformats.org/drawingml/2006/main" xmlns:pic="http://schemas.openxmlformats.org/drawingml/2006/picture">
            <wp:extent cx="5486400" cy="4539479"/>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39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