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2026-09-17 och omfattar 237,7 ha.</w:t>
      </w:r>
    </w:p>
    <w:p>
      <w:pPr>
        <w:pStyle w:val="Caption"/>
      </w:pPr>
      <w:r>
        <w:drawing>
          <wp:inline xmlns:a="http://schemas.openxmlformats.org/drawingml/2006/main" xmlns:pic="http://schemas.openxmlformats.org/drawingml/2006/picture">
            <wp:extent cx="5486400" cy="4561272"/>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612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71 naturvårdsarter, varav 37 är rödlistade, 26 är fridlysta, 36 är typiska (T) och 16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