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2026-09-03 och omfattar 403,2 ha.</w:t>
      </w:r>
    </w:p>
    <w:p>
      <w:pPr>
        <w:pStyle w:val="Caption"/>
      </w:pPr>
      <w:r>
        <w:drawing>
          <wp:inline xmlns:a="http://schemas.openxmlformats.org/drawingml/2006/main" xmlns:pic="http://schemas.openxmlformats.org/drawingml/2006/picture">
            <wp:extent cx="526260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26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69 naturvårdsarter, varav 29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