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2026-10-27 och omfattar 237,7 ha.</w:t>
      </w:r>
    </w:p>
    <w:p>
      <w:pPr>
        <w:pStyle w:val="Caption"/>
      </w:pPr>
      <w:r>
        <w:drawing>
          <wp:inline xmlns:a="http://schemas.openxmlformats.org/drawingml/2006/main" xmlns:pic="http://schemas.openxmlformats.org/drawingml/2006/picture">
            <wp:extent cx="5486400" cy="4236388"/>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63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74 naturvårdsarter, varav 39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Phellodon aquiloniniger (NT),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74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