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2026-09-23 och omfattar 168,3 ha.</w:t>
      </w:r>
    </w:p>
    <w:p>
      <w:pPr>
        <w:pStyle w:val="Caption"/>
      </w:pPr>
      <w:r>
        <w:drawing>
          <wp:inline xmlns:a="http://schemas.openxmlformats.org/drawingml/2006/main" xmlns:pic="http://schemas.openxmlformats.org/drawingml/2006/picture">
            <wp:extent cx="5284833"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483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