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2026-09-23 och omfattar 403,2 ha.</w:t>
      </w:r>
    </w:p>
    <w:p>
      <w:pPr>
        <w:pStyle w:val="Caption"/>
      </w:pPr>
      <w:r>
        <w:drawing>
          <wp:inline xmlns:a="http://schemas.openxmlformats.org/drawingml/2006/main" xmlns:pic="http://schemas.openxmlformats.org/drawingml/2006/picture">
            <wp:extent cx="5193774"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19377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70 naturvårdsarter, varav 30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såpfingersvamp (NT),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