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2026-09-23 och omfattar 280,8 ha.</w:t>
      </w:r>
    </w:p>
    <w:p>
      <w:pPr>
        <w:pStyle w:val="Caption"/>
      </w:pPr>
      <w:r>
        <w:drawing>
          <wp:inline xmlns:a="http://schemas.openxmlformats.org/drawingml/2006/main" xmlns:pic="http://schemas.openxmlformats.org/drawingml/2006/picture">
            <wp:extent cx="5486400" cy="5185147"/>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5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