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2026-09-23 och omfattar 237,7 ha.</w:t>
      </w:r>
    </w:p>
    <w:p>
      <w:pPr>
        <w:pStyle w:val="Caption"/>
      </w:pPr>
      <w:r>
        <w:drawing>
          <wp:inline xmlns:a="http://schemas.openxmlformats.org/drawingml/2006/main" xmlns:pic="http://schemas.openxmlformats.org/drawingml/2006/picture">
            <wp:extent cx="5486400" cy="4558784"/>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587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