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2026-07-26 och omfattar 415,0 ha.</w:t>
      </w:r>
    </w:p>
    <w:p>
      <w:pPr>
        <w:pStyle w:val="Caption"/>
      </w:pPr>
      <w:r>
        <w:drawing>
          <wp:inline xmlns:a="http://schemas.openxmlformats.org/drawingml/2006/main" xmlns:pic="http://schemas.openxmlformats.org/drawingml/2006/picture">
            <wp:extent cx="494277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2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