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2026-07-26 och omfattar 450,6 ha.</w:t>
      </w:r>
    </w:p>
    <w:p>
      <w:pPr>
        <w:pStyle w:val="Caption"/>
      </w:pPr>
      <w:r>
        <w:drawing>
          <wp:inline xmlns:a="http://schemas.openxmlformats.org/drawingml/2006/main" xmlns:pic="http://schemas.openxmlformats.org/drawingml/2006/picture">
            <wp:extent cx="5486400" cy="4408755"/>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