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2026-07-26 och omfattar 237,7 ha.</w:t>
      </w:r>
    </w:p>
    <w:p>
      <w:pPr>
        <w:pStyle w:val="Caption"/>
      </w:pPr>
      <w:r>
        <w:drawing>
          <wp:inline xmlns:a="http://schemas.openxmlformats.org/drawingml/2006/main" xmlns:pic="http://schemas.openxmlformats.org/drawingml/2006/picture">
            <wp:extent cx="5486400" cy="4578394"/>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83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