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2026-10-09 och omfattar 159,7 ha.</w:t>
      </w:r>
    </w:p>
    <w:p>
      <w:pPr>
        <w:pStyle w:val="Caption"/>
      </w:pPr>
      <w:r>
        <w:drawing>
          <wp:inline xmlns:a="http://schemas.openxmlformats.org/drawingml/2006/main" xmlns:pic="http://schemas.openxmlformats.org/drawingml/2006/picture">
            <wp:extent cx="5486400" cy="4410173"/>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114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