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2026-10-09 och omfattar 159,7 ha.</w:t>
      </w:r>
    </w:p>
    <w:p>
      <w:pPr>
        <w:pStyle w:val="Caption"/>
      </w:pPr>
      <w:r>
        <w:drawing>
          <wp:inline xmlns:a="http://schemas.openxmlformats.org/drawingml/2006/main" xmlns:pic="http://schemas.openxmlformats.org/drawingml/2006/picture">
            <wp:extent cx="5486400" cy="4410173"/>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1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114 naturvårdsarter, varav 59 är rödlistade, 39 är fridlysta, 51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hultbräken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blodticka (S, T), blåmossa (S, T), bronshjon (S, T), flagellkvastmossa (S, T), fällmossa (S, T), granbarkgnagare (S, T), grovticka (S, T), grön sköldmossa (S, T, §8), grönpyrola (S, T), korallrot (S, T, §8), mindre märgborre (S, T), nästlav (S, T), plattlummer (S, T, §9), rostfläck (S, T), spindelblomster (S, T, §8), stubbspretmossa (S, T), trådticka (S, T), vedticka (S, T), blåsippa (T, §9), ekbräken (T), hultbräken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