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2026-08-15 och omfattar 194,4 ha.</w:t>
      </w:r>
    </w:p>
    <w:p>
      <w:pPr>
        <w:pStyle w:val="Caption"/>
      </w:pPr>
      <w:r>
        <w:drawing>
          <wp:inline xmlns:a="http://schemas.openxmlformats.org/drawingml/2006/main" xmlns:pic="http://schemas.openxmlformats.org/drawingml/2006/picture">
            <wp:extent cx="5486400" cy="4745848"/>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58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119 naturvårdsarter, varav 65 är rödlistade, 35 är fridlysta, 52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119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